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ascii="黑体" w:hAnsi="黑体" w:eastAsia="黑体" w:cs="黑体"/>
        </w:rPr>
        <w:t>4</w:t>
      </w:r>
    </w:p>
    <w:p>
      <w:pPr>
        <w:snapToGrid w:val="0"/>
        <w:spacing w:line="600" w:lineRule="exact"/>
        <w:jc w:val="center"/>
        <w:rPr>
          <w:rFonts w:ascii="方正小标宋简体" w:hAnsi="方正小标宋_GBK" w:eastAsia="方正小标宋简体" w:cs="Times New Roman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简体"/>
          <w:sz w:val="36"/>
          <w:szCs w:val="36"/>
        </w:rPr>
        <w:t>随州市工程建设招标代理机构服务质量评</w:t>
      </w:r>
      <w:bookmarkStart w:id="0" w:name="_GoBack"/>
      <w:bookmarkEnd w:id="0"/>
      <w:r>
        <w:rPr>
          <w:rFonts w:hint="eastAsia" w:ascii="方正小标宋简体" w:hAnsi="方正小标宋_GBK" w:eastAsia="方正小标宋简体" w:cs="方正小标宋简体"/>
          <w:sz w:val="36"/>
          <w:szCs w:val="36"/>
        </w:rPr>
        <w:t>价</w:t>
      </w:r>
    </w:p>
    <w:p>
      <w:pPr>
        <w:jc w:val="center"/>
        <w:rPr>
          <w:rFonts w:ascii="楷体_GB2312" w:hAnsi="仿宋_GB2312" w:eastAsia="楷体_GB2312" w:cs="Times New Roman"/>
        </w:rPr>
      </w:pPr>
      <w:r>
        <w:rPr>
          <w:rFonts w:hint="eastAsia" w:ascii="楷体_GB2312" w:hAnsi="仿宋_GB2312" w:eastAsia="楷体_GB2312" w:cs="楷体_GB2312"/>
        </w:rPr>
        <w:t>（市公共资源交易中心）</w:t>
      </w:r>
    </w:p>
    <w:p>
      <w:pPr>
        <w:rPr>
          <w:rFonts w:ascii="楷体_GB2312" w:hAnsi="仿宋_GB2312" w:eastAsia="楷体_GB2312" w:cs="Times New Roman"/>
          <w:sz w:val="28"/>
          <w:szCs w:val="28"/>
        </w:rPr>
      </w:pPr>
      <w:r>
        <w:rPr>
          <w:rFonts w:hint="eastAsia" w:ascii="楷体_GB2312" w:hAnsi="仿宋_GB2312" w:eastAsia="楷体_GB2312" w:cs="楷体_GB2312"/>
          <w:sz w:val="28"/>
          <w:szCs w:val="28"/>
        </w:rPr>
        <w:t>市公共资源交易中心（公章）：日期：年月日</w:t>
      </w:r>
    </w:p>
    <w:tbl>
      <w:tblPr>
        <w:tblStyle w:val="4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324"/>
        <w:gridCol w:w="4457"/>
        <w:gridCol w:w="854"/>
        <w:gridCol w:w="770"/>
        <w:gridCol w:w="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081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代理机构名称</w:t>
            </w:r>
          </w:p>
        </w:tc>
        <w:tc>
          <w:tcPr>
            <w:tcW w:w="6764" w:type="dxa"/>
            <w:gridSpan w:val="4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081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6764" w:type="dxa"/>
            <w:gridSpan w:val="4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left="-64" w:leftChars="-20" w:right="-64" w:rightChars="-20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left="-64" w:leftChars="-20" w:right="-64" w:rightChars="-20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评价内容</w:t>
            </w:r>
          </w:p>
        </w:tc>
        <w:tc>
          <w:tcPr>
            <w:tcW w:w="854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left="-64" w:leftChars="-20" w:right="-64" w:rightChars="-20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分值</w:t>
            </w:r>
          </w:p>
        </w:tc>
        <w:tc>
          <w:tcPr>
            <w:tcW w:w="770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left="-64" w:leftChars="-20" w:right="-64" w:rightChars="-20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得分</w:t>
            </w:r>
          </w:p>
        </w:tc>
        <w:tc>
          <w:tcPr>
            <w:tcW w:w="683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ind w:left="-64" w:leftChars="-20" w:right="-64" w:rightChars="-20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项目登记程序规范，内容准确，资料齐全；容缺的项目书面承诺开标前补齐相关资料，开标前无法补充的及时延长投标截止时间。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5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场地预约安排合理，场地变更及时；招标文件严格落实取消“两金”、取消平台信息服务费要求；遵守、服从交易中心相关管理规定。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4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1"/>
                <w:sz w:val="24"/>
                <w:szCs w:val="24"/>
              </w:rPr>
              <w:t>依照提交的招标方案项目团队组成人员及分工组织开评标活动；项目团队组成人员熟悉项目情况；公告、公示中所留代理机构经办人联系方式可正常联系。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4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遵守开标、评标现场纪律，维护好开标、评标现场秩序，投标截止时间前</w:t>
            </w:r>
            <w:r>
              <w:rPr>
                <w:rFonts w:ascii="宋体" w:hAnsi="宋体" w:cs="宋体"/>
                <w:spacing w:val="-5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分钟代理机构人员进入开标室。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4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开标、评标前准备充分，系统操作熟练，组织有序，程序严谨，过程顺利；开标、评标结束后及时关闭电脑、空调、投影仪等相关设施设备。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4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按规定的程序和时间节点抽取专家；专家抽取信息（时间、人数、专业、回避等）录入准确；严格遵守远程异地评标专家抽取规定；按标准发放评标专家劳务费。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5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涉及场地变更或取消、专家补抽、复核场地安排、定标场地安排等事项与交易中心沟通及时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4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评标结束后及时、认真对评标结果进行形式核验；在交易中心网站上发布的招标公告、评标结果公示、中标结果公告、录入交易平台的项目相关信息准确、规范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5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5781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szCs w:val="24"/>
              </w:rPr>
              <w:t>遵守交易平台其他各项规则规定，招投标活动正常运行</w:t>
            </w:r>
          </w:p>
        </w:tc>
        <w:tc>
          <w:tcPr>
            <w:tcW w:w="85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5"/>
                <w:sz w:val="24"/>
                <w:szCs w:val="24"/>
              </w:rPr>
            </w:pPr>
            <w:r>
              <w:rPr>
                <w:rFonts w:ascii="宋体" w:hAnsi="宋体" w:cs="宋体"/>
                <w:spacing w:val="-5"/>
                <w:sz w:val="24"/>
                <w:szCs w:val="24"/>
              </w:rPr>
              <w:t>5</w:t>
            </w:r>
          </w:p>
        </w:tc>
        <w:tc>
          <w:tcPr>
            <w:tcW w:w="77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83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538" w:type="dxa"/>
            <w:gridSpan w:val="3"/>
            <w:noWrap/>
            <w:vAlign w:val="center"/>
          </w:tcPr>
          <w:p>
            <w:pPr>
              <w:spacing w:line="38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总分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满分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40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)</w:t>
            </w:r>
          </w:p>
        </w:tc>
        <w:tc>
          <w:tcPr>
            <w:tcW w:w="2307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sz w:val="24"/>
          <w:szCs w:val="24"/>
        </w:rPr>
        <w:t>注：</w:t>
      </w:r>
      <w:r>
        <w:rPr>
          <w:rFonts w:ascii="仿宋_GB2312" w:hAnsi="仿宋_GB2312" w:eastAsia="仿宋_GB2312" w:cs="仿宋_GB2312"/>
          <w:sz w:val="24"/>
          <w:szCs w:val="24"/>
        </w:rPr>
        <w:t>1.</w:t>
      </w:r>
      <w:r>
        <w:rPr>
          <w:rFonts w:hint="eastAsia" w:ascii="仿宋_GB2312" w:hAnsi="仿宋_GB2312" w:eastAsia="仿宋_GB2312" w:cs="仿宋_GB2312"/>
          <w:sz w:val="24"/>
          <w:szCs w:val="24"/>
        </w:rPr>
        <w:t>请市公共资源交易中心于中标公告发出后</w:t>
      </w:r>
      <w:r>
        <w:rPr>
          <w:rFonts w:ascii="仿宋_GB2312" w:hAnsi="仿宋_GB2312" w:eastAsia="仿宋_GB2312" w:cs="仿宋_GB2312"/>
          <w:sz w:val="24"/>
          <w:szCs w:val="24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日内将此表格盖章扫描件发送至邮箱</w:t>
      </w:r>
      <w:r>
        <w:rPr>
          <w:rFonts w:ascii="仿宋_GB2312" w:hAnsi="仿宋_GB2312" w:eastAsia="仿宋_GB2312" w:cs="仿宋_GB2312"/>
          <w:sz w:val="24"/>
          <w:szCs w:val="24"/>
        </w:rPr>
        <w:t>szsggzy2023@163.com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YjhjMGM5YmM1ZDQ3ZjZiY2MxOTE0NTQ3YjI2ZWMifQ=="/>
  </w:docVars>
  <w:rsids>
    <w:rsidRoot w:val="00000000"/>
    <w:rsid w:val="13035A16"/>
    <w:rsid w:val="2581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99"/>
    <w:pPr>
      <w:ind w:firstLine="420"/>
    </w:pPr>
  </w:style>
  <w:style w:type="paragraph" w:styleId="3">
    <w:name w:val="Body Text Indent"/>
    <w:basedOn w:val="1"/>
    <w:uiPriority w:val="99"/>
    <w:pPr>
      <w:spacing w:line="560" w:lineRule="exact"/>
      <w:ind w:firstLine="960" w:firstLineChars="200"/>
    </w:pPr>
    <w:rPr>
      <w:rFonts w:ascii="宋体" w:hAnsi="宋体" w:eastAsia="仿宋_GB2312" w:cs="宋体"/>
      <w:b/>
      <w:bCs/>
    </w:rPr>
  </w:style>
  <w:style w:type="character" w:styleId="6">
    <w:name w:val="Hyperlink"/>
    <w:basedOn w:val="5"/>
    <w:qFormat/>
    <w:uiPriority w:val="0"/>
    <w:rPr>
      <w:rFonts w:ascii="Calibri" w:hAnsi="Calibri" w:eastAsia="仿宋"/>
      <w:color w:val="0000FF"/>
      <w:sz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2021-12-17T08:11:00Z</dcterms:created>
  <dc:creator>GXQ</dc:creator>
  <cp:lastModifiedBy>Lady  鲁</cp:lastModifiedBy>
  <dcterms:modified xsi:type="dcterms:W3CDTF">2023-06-16T01:05:24Z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E2FE51DA380B42E09CFA9C3894DA6899_12</vt:lpwstr>
  </property>
</Properties>
</file>